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w:t>
      </w:r>
      <w:r>
        <w:rPr>
          <w:vertAlign w:val="superscript"/>
        </w:rPr>
        <w:t xml:space="preserve">1</w:t>
      </w:r>
      <w:r>
        <w:t xml:space="preserve"> </w:t>
      </w:r>
      <w:r>
        <w:t xml:space="preserve">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 NA tree-ring chronologies from NA 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Earth’s atmospheric CO</w:t>
      </w:r>
      <w:r>
        <w:rPr>
          <w:vertAlign w:val="subscript"/>
        </w:rPr>
        <w:t xml:space="preserve">2</w:t>
      </w:r>
      <w:r>
        <w:t xml:space="preserve"> </w:t>
      </w:r>
      <w:r>
        <w:t xml:space="preserve">concentrations and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18</w:t>
      </w:r>
      <w:r>
        <w:rPr>
          <w:bCs/>
          <w:b/>
        </w:rPr>
        <w:t xml:space="preserve"> </w:t>
      </w:r>
      <w:r>
        <w:rPr>
          <w:bCs/>
          <w:b/>
        </w:rPr>
        <w:t xml:space="preserve">and</w:t>
      </w:r>
      <w:r>
        <w:rPr>
          <w:bCs/>
          <w:b/>
        </w:rPr>
        <w:t xml:space="preserve"> </w:t>
      </w:r>
      <w:r>
        <w:rPr>
          <w:iCs/>
          <w:i/>
          <w:bCs/>
          <w:b/>
        </w:rPr>
        <w:t xml:space="preserve">often later autumn</w:t>
      </w:r>
      <w:r>
        <w:rPr>
          <w:vertAlign w:val="superscript"/>
          <w:bCs/>
          <w:b/>
        </w:rPr>
        <w:t xml:space="preserve">1</w:t>
      </w:r>
      <w:r>
        <w:rPr>
          <w:bCs/>
          <w:b/>
        </w:rPr>
        <w:t xml:space="preserve">.</w:t>
      </w:r>
      <w:r>
        <w:t xml:space="preserve"> </w:t>
      </w:r>
      <w:r>
        <w:t xml:space="preserve">In temperate deciduous forests, spring leaf-out has been occurring earlier</w:t>
      </w:r>
      <w:r>
        <w:rPr>
          <w:vertAlign w:val="superscript"/>
        </w:rPr>
        <w:t xml:space="preserve">1</w:t>
      </w:r>
      <w:r>
        <w:t xml:space="preserve">,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1,4,6,7,13,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w:t>
      </w:r>
      <w:r>
        <w:rPr>
          <w:vertAlign w:val="superscript"/>
        </w:rPr>
        <w:t xml:space="preserve">1</w:t>
      </w:r>
      <w:r>
        <w:t xml:space="preserve"> </w:t>
      </w:r>
      <w:r>
        <w:t xml:space="preserve">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19–21</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with multi-year records of growth phenology having been published for only one site [D’Orangeville].</w:t>
      </w:r>
      <w:r>
        <w:t xml:space="preserve"> </w:t>
      </w:r>
      <w:r>
        <w:rPr>
          <w:iCs/>
          <w:i/>
        </w:rPr>
        <w:t xml:space="preserve">(We need to make sure we’re not missing anything.)</w:t>
      </w:r>
      <w:r>
        <w:t xml:space="preserve"> </w:t>
      </w:r>
      <w:r>
        <w:t xml:space="preserve">Tree-ring records, which can be used to examine correlations of annual growth to monthly temperatures but not to understand growth phenology, reveal that growth of temperate deciduous trees tends to be most sensitive to summer temperatures (REFS), with some hints that warmer springs may have a modest positive effect on growth (e.g., Refs.</w:t>
      </w:r>
      <w:r>
        <w:rPr>
          <w:vertAlign w:val="superscript"/>
        </w:rPr>
        <w:t xml:space="preserve">22</w:t>
      </w:r>
      <w:r>
        <w:t xml:space="preserve"> </w:t>
      </w:r>
      <w:r>
        <w:t xml:space="preserve">[MORE]).</w:t>
      </w:r>
      <w:r>
        <w:t xml:space="preserve"> </w:t>
      </w:r>
      <w:r>
        <w:t xml:space="preserve">Thus, tree-ring records do not necessarily corroborate findings that warming spring temperatures lengthen the growing season and increase annual CO</w:t>
      </w:r>
      <w:r>
        <w:rPr>
          <w:vertAlign w:val="subscript"/>
        </w:rPr>
        <w:t xml:space="preserve">2</w:t>
      </w:r>
      <w:r>
        <w:t xml:space="preserve"> </w:t>
      </w:r>
      <w:r>
        <w:t xml:space="preserve">sequestration.</w:t>
      </w:r>
      <w:r>
        <w:t xml:space="preserve"> </w:t>
      </w:r>
      <w:r>
        <w:t xml:space="preserve">Characterizing phenological responses of stem growth to warming spring temperatures is critical to bridging this conceptual disconnect and understanding how forest biomass growth is likely to change as the climate warms.</w:t>
      </w:r>
    </w:p>
    <w:p>
      <w:pPr>
        <w:pStyle w:val="BodyText"/>
      </w:pPr>
      <w:r>
        <w:rPr>
          <w:bCs/>
          <w:b/>
        </w:rPr>
        <w:t xml:space="preserve">Here, we characterize how early spring temperatures affect stem growth phenology, growth rates, and annual growth of temperate deciduous trees in two forests (Fig. 1) and annual growth across these and an additional NA forests spanning eastern North America.</w:t>
      </w:r>
      <w:r>
        <w:t xml:space="preserve"> </w:t>
      </w:r>
      <w:r>
        <w:t xml:space="preserve">First, using dendrometer band measurements taken throughout the growing season at the Smithsonian Conservation Biology Institute (SCBI; Virginia; n =</w:t>
      </w:r>
      <w:r>
        <w:t xml:space="preserve"> </w:t>
      </w:r>
      <w:r>
        <w:rPr>
          <w:bCs/>
          <w:b/>
        </w:rPr>
        <w:t xml:space="preserve">146</w:t>
      </w:r>
      <w:r>
        <w:t xml:space="preserve"> </w:t>
      </w:r>
      <w:r>
        <w:t xml:space="preserve">trees over 10 years) and Harvard Forest (Massachusetts; n =</w:t>
      </w:r>
      <w:r>
        <w:t xml:space="preserve"> </w:t>
      </w:r>
      <w:r>
        <w:rPr>
          <w:bCs/>
          <w:b/>
        </w:rPr>
        <w:t xml:space="preserve">755</w:t>
      </w:r>
      <w:r>
        <w:t xml:space="preserve"> </w:t>
      </w:r>
      <w:r>
        <w:t xml:space="preserve">trees over six years), we fit a growth model</w:t>
      </w:r>
      <w:r>
        <w:rPr>
          <w:vertAlign w:val="superscript"/>
        </w:rPr>
        <w:t xml:space="preserve">23</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t xml:space="preserve">This analysis was performed separately for ring- and diffuse-porous species, which differ in growth phenology[</w:t>
      </w:r>
      <w:r>
        <w:rPr>
          <w:iCs/>
          <w:i/>
        </w:rPr>
        <w:t xml:space="preserve">D’Orangeville</w:t>
      </w:r>
      <w:r>
        <w:t xml:space="preserve">], and set in the context of leaf phenology at these sites.</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4"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(Extended Data Figure 1, Extended Data Table 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(Extended Data Figure 2).</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(Extended Data Table 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w:t>
      </w:r>
      <w:r>
        <w:rPr>
          <w:bCs/>
          <w:b/>
        </w:rPr>
        <w:t xml:space="preserve">NEEDS SUPPORTING FIG</w:t>
      </w:r>
      <w:r>
        <w:t xml:space="preserve">).</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w:t>
      </w:r>
      <w:r>
        <w:rPr>
          <w:bCs/>
          <w:b/>
        </w:rPr>
        <w:t xml:space="preserve">NEEDS SUPPORTING FIG</w:t>
      </w:r>
      <w:r>
        <w:t xml:space="preserve">).</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30"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SHOULD WE SHOW ONLY THE DOY TRENDS and Lpgs (top 2 rows), GIVEN LACK OF SIGNIFICANT TRENDS IN THE OTHERS AND BECAUSE WE NEED TO KEEP FIGURES COMPACT?)"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 (</w:t>
      </w:r>
      <w:r>
        <w:rPr>
          <w:bCs/>
          <w:b/>
        </w:rPr>
        <w:t xml:space="preserve">SHOULD WE SHOW ONLY THE DOY TRENDS and Lpgs (top 2 rows), GIVEN LACK OF SIGNIFICANT TRENDS IN THE OTHERS AND BECAUSE WE NEED TO KEEP FIGURES COMPACT?</w:t>
      </w:r>
      <w:r>
        <w:t xml:space="preserve">)</w:t>
      </w:r>
    </w:p>
    <w:p>
      <w:pPr>
        <w:pStyle w:val="CaptionedFigure"/>
      </w:pPr>
      <w:r>
        <w:drawing>
          <wp:inline>
            <wp:extent cx="5334000" cy="4445000"/>
            <wp:effectExtent b="0" l="0" r="0" t="0"/>
            <wp:docPr descr="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SHOULD WE COMBINE LEAF AND STEM PHENOLOGY ON A SINGLE PLOT WITH SEPARATE Y-AXES? See GitHub Issue #50. )"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t>
      </w:r>
      <w:r>
        <w:rPr>
          <w:bCs/>
          <w:b/>
        </w:rPr>
        <w:t xml:space="preserve">SHOULD WE COMBINE LEAF AND STEM PHENOLOGY ON A SINGLE PLOT WITH SEPARATE Y-AXES?</w:t>
      </w:r>
      <w:r>
        <w:t xml:space="preserve"> </w:t>
      </w:r>
      <w:r>
        <w:t xml:space="preserve">See</w:t>
      </w:r>
      <w:r>
        <w:t xml:space="preserve"> </w:t>
      </w:r>
      <w:hyperlink r:id="rId29">
        <w:r>
          <w:rPr>
            <w:rStyle w:val="Hyperlink"/>
          </w:rPr>
          <w:t xml:space="preserve">GitHub Issue #50</w:t>
        </w:r>
      </w:hyperlink>
      <w:r>
        <w:t xml:space="preserve">. )</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30"/>
    <w:bookmarkStart w:id="33"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rPr>
          <w:bCs/>
          <w:b/>
        </w:rPr>
        <w:t xml:space="preserve">To understand how annual growth, as registered in ring width indices (</w:t>
      </w:r>
      <m:oMath>
        <m:r>
          <m:t>R</m:t>
        </m:r>
        <m:r>
          <m:t>W</m:t>
        </m:r>
        <m:r>
          <m:t>I</m:t>
        </m:r>
      </m:oMath>
      <w:r>
        <w:rPr>
          <w:bCs/>
          <w:b/>
        </w:rPr>
        <w:t xml:space="preserve">), have responded to spring temperatures at the centennial scale, we analyzed tree-ring chronologies for NA species at SCBI, NA species at Harvard Forest.</w:t>
      </w:r>
      <w:r>
        <w:t xml:space="preserve"> </w:t>
      </w:r>
      <w:r>
        <w:rPr>
          <w:iCs/>
          <w:i/>
        </w:rPr>
        <w:t xml:space="preserve">(The following should be condensed:)</w:t>
      </w:r>
      <w:r>
        <w:t xml:space="preserve"> </w:t>
      </w:r>
      <w:r>
        <w:t xml:space="preserve">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 4, Extended Data Figure 3).</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5334000" cy="5147802"/>
            <wp:effectExtent b="0" l="0" r="0" t="0"/>
            <wp:docPr descr="Figure 4 | Sensitivity of annual growth, as derived from tree-rings, to monthly maximum temperatures, for ## chronologies from ## sites across eastern North America. Chronologies are grouped by xylem porosity and ordered by mean April T_max. Chronology details are given in the Supplementary Information. (NOTE: Figure still needs some work. COLOR SCALE IS A BIT OFF. See GitHub Issue #49.)" title="" id="1" name="Picture"/>
            <a:graphic>
              <a:graphicData uri="http://schemas.openxmlformats.org/drawingml/2006/picture">
                <pic:pic>
                  <pic:nvPicPr>
                    <pic:cNvPr descr="tables_figures/tree_rings_tmax.png" id="0" name="Picture"/>
                    <pic:cNvPicPr>
                      <a:picLocks noChangeArrowheads="1" noChangeAspect="1"/>
                    </pic:cNvPicPr>
                  </pic:nvPicPr>
                  <pic:blipFill>
                    <a:blip r:embed="rId31"/>
                    <a:stretch>
                      <a:fillRect/>
                    </a:stretch>
                  </pic:blipFill>
                  <pic:spPr bwMode="auto">
                    <a:xfrm>
                      <a:off x="0" y="0"/>
                      <a:ext cx="5334000" cy="5147802"/>
                    </a:xfrm>
                    <a:prstGeom prst="rect">
                      <a:avLst/>
                    </a:prstGeom>
                    <a:noFill/>
                    <a:ln w="9525">
                      <a:noFill/>
                      <a:headEnd/>
                      <a:tailEnd/>
                    </a:ln>
                  </pic:spPr>
                </pic:pic>
              </a:graphicData>
            </a:graphic>
          </wp:inline>
        </w:drawing>
      </w:r>
    </w:p>
    <w:p>
      <w:pPr>
        <w:pStyle w:val="ImageCaption"/>
      </w:pPr>
      <w:r>
        <w:t xml:space="preserve">Figure 4 | Sensitivity of annual growth, as derived from tree-rings, to monthly maximum temperatures, for ## chronologies from ## sites across eastern North America. Chronologies are grouped by xylem porosity and ordered by mean April T_max. Chronology details are given in the Supplementary Information. (NOTE: Figure still needs some work.</w:t>
      </w:r>
      <w:r>
        <w:t xml:space="preserve"> </w:t>
      </w:r>
      <w:r>
        <w:rPr>
          <w:bCs/>
          <w:b/>
        </w:rPr>
        <w:t xml:space="preserve">COLOR SCALE IS A BIT OFF.</w:t>
      </w:r>
      <w:r>
        <w:t xml:space="preserve"> </w:t>
      </w:r>
      <w:r>
        <w:t xml:space="preserve">See</w:t>
      </w:r>
      <w:r>
        <w:t xml:space="preserve"> </w:t>
      </w:r>
      <w:hyperlink r:id="rId32">
        <w:r>
          <w:rPr>
            <w:rStyle w:val="Hyperlink"/>
          </w:rPr>
          <w:t xml:space="preserve">GitHub Issue #49</w:t>
        </w:r>
      </w:hyperlink>
      <w:r>
        <w:t xml:space="preserve">.)</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(Extended Data Figure 3).</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BodyText"/>
      </w:pPr>
      <w:r>
        <w:rPr>
          <w:bCs/>
          <w:b/>
        </w:rPr>
        <w:t xml:space="preserve">To set these findings in a broader scale context, we analyzed an additional NA chronologies from NA.</w:t>
      </w:r>
      <w:r>
        <w:t xml:space="preserve"> </w:t>
      </w:r>
      <w:r>
        <w:t xml:space="preserve">In total, our analysis included # species at sites distributed from XXX to XXX and spanning a ## degree range in April T.**</w:t>
      </w:r>
      <w:r>
        <w:t xml:space="preserve"> </w:t>
      </w:r>
      <w:r>
        <w:rPr>
          <w:iCs/>
          <w:i/>
        </w:rPr>
        <w:t xml:space="preserve">(describe results across all sites)</w:t>
      </w:r>
      <w:r>
        <w:t xml:space="preserve"> </w:t>
      </w:r>
      <w:r>
        <w:t xml:space="preserve">(Fig. 4)</w:t>
      </w:r>
    </w:p>
    <w:bookmarkEnd w:id="33"/>
    <w:bookmarkEnd w:id="34"/>
    <w:bookmarkStart w:id="35"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( 1- 3). Using dendroband data, we found that the peak growing season generally advanced as the critical spring windows warmed (Fig. 3).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w:t>
      </w:r>
      <w:r>
        <w:t xml:space="preserve">(Fig 2). The lack of influence Spring</w:t>
      </w:r>
      <w:r>
        <w:t xml:space="preserve"> </w:t>
      </w:r>
      <m:oMath>
        <m:sSub>
          <m:e>
            <m:r>
              <m:t>T</m:t>
            </m:r>
          </m:e>
          <m:sub>
            <m:r>
              <m:t>m</m:t>
            </m:r>
            <m:r>
              <m:t>a</m:t>
            </m:r>
            <m:r>
              <m:t>x</m:t>
            </m:r>
          </m:sub>
        </m:sSub>
      </m:oMath>
      <w:r>
        <w:t xml:space="preserve"> </w:t>
      </w:r>
      <w:r>
        <w:t xml:space="preserve">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1-3).</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 This could be tough. It looks like that varies alot by region and species.)</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 annual growth is most commonly controlled by climate conditions during the peak growing season [Fig. 4;],</w:t>
      </w:r>
      <w:r>
        <w:rPr>
          <w:vertAlign w:val="superscript"/>
        </w:rPr>
        <w:t xml:space="preserve">22</w:t>
      </w:r>
      <w:r>
        <w:t xml:space="preserve"> .</w:t>
      </w:r>
      <w:r>
        <w:t xml:space="preserve"> </w:t>
      </w:r>
      <w:r>
        <w:t xml:space="preserve">(</w:t>
      </w:r>
      <w:r>
        <w:rPr>
          <w:iCs/>
          <w:i/>
        </w:rPr>
        <w:t xml:space="preserve">1-2 sentences reviewing our regional analysis results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3 ,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5"/>
    <w:bookmarkStart w:id="36"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12,21</w:t>
      </w:r>
      <w:r>
        <w:t xml:space="preserve"> This idea agrees with patterns seen in tree cores, where peak growing season climate was more influential than spring climate</w:t>
      </w:r>
      <w:r>
        <w:rPr>
          <w:vertAlign w:val="superscript"/>
        </w:rPr>
        <w:t xml:space="preserve">22</w:t>
      </w:r>
      <w:r>
        <w:t xml:space="preserve"> </w:t>
      </w:r>
      <w:r>
        <w:t xml:space="preserve">but many models still predict the extension of growing season will increase NEE.</w:t>
      </w:r>
    </w:p>
    <w:p>
      <w:pPr>
        <w:pStyle w:val="BodyText"/>
      </w:pPr>
      <w:r>
        <w:rPr>
          <w:vertAlign w:val="superscript"/>
        </w:rPr>
        <w:t xml:space="preserve">24</w:t>
      </w:r>
    </w:p>
    <w:p>
      <w:pPr>
        <w:pStyle w:val="BodyText"/>
      </w:pPr>
      <w:r>
        <w:t xml:space="preserve">From Neil:,</w:t>
      </w:r>
      <w:r>
        <w:rPr>
          <w:vertAlign w:val="superscript"/>
        </w:rPr>
        <w:t xml:space="preserve">25</w:t>
      </w:r>
      <w:r>
        <w:rPr>
          <w:vertAlign w:val="superscript"/>
        </w:rPr>
        <w:t xml:space="preserve">26</w:t>
      </w:r>
    </w:p>
    <w:p>
      <w:pPr>
        <w:pStyle w:val="BodyText"/>
      </w:pPr>
      <w:r>
        <w:t xml:space="preserve">effect of spring temperature on annual growth in New England:</w:t>
      </w:r>
      <w:r>
        <w:rPr>
          <w:vertAlign w:val="superscript"/>
        </w:rPr>
        <w:t xml:space="preserve">27</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6"/>
    <w:bookmarkStart w:id="46" w:name="methods"/>
    <w:p>
      <w:pPr>
        <w:pStyle w:val="Heading1"/>
      </w:pPr>
      <w:r>
        <w:t xml:space="preserve">Methods</w:t>
      </w:r>
    </w:p>
    <w:bookmarkStart w:id="37"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7"/>
    <w:bookmarkStart w:id="43" w:name="data-collection-and-preparation"/>
    <w:p>
      <w:pPr>
        <w:pStyle w:val="Heading2"/>
      </w:pPr>
      <w:r>
        <w:t xml:space="preserve">Data collection and preparation</w:t>
      </w:r>
    </w:p>
    <w:bookmarkStart w:id="38" w:name="dendrometer-bands"/>
    <w:p>
      <w:pPr>
        <w:pStyle w:val="Heading3"/>
      </w:pPr>
      <w:r>
        <w:t xml:space="preserve">Dendrometer bands</w:t>
      </w:r>
    </w:p>
    <w:p>
      <w:pPr>
        <w:pStyle w:val="FirstParagraph"/>
      </w:pPr>
      <w:r>
        <w:t xml:space="preserve">Metal dendrometer bands installed on a total of 463 trees within the SCBI and Harvard Forest ForestGEO plots (Extended Data Table 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(Extended Data Table 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(Extended Data Table 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23</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23</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8"/>
    <w:bookmarkStart w:id="39"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(Extended Data Table 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22</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28</w:t>
      </w:r>
      <w:r>
        <w:t xml:space="preserve"> and trees found newly dead in annual tree mortality in 2016 and 2017.</w:t>
      </w:r>
      <w:r>
        <w:rPr>
          <w:vertAlign w:val="superscript"/>
        </w:rPr>
        <w:t xml:space="preserve">22</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(Extended Data Table 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29,30</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31</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32</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29</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29</w:t>
      </w:r>
      <w:r>
        <w:t xml:space="preserve"> </w:t>
      </w:r>
      <w:r>
        <w:t xml:space="preserve">We defined chronology start year (Extended Data Table 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9"/>
    <w:bookmarkStart w:id="42"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40">
        <w:r>
          <w:rPr>
            <w:rStyle w:val="Hyperlink"/>
          </w:rPr>
          <w:t xml:space="preserve">https://forestgeo.github.io/Climate/</w:t>
        </w:r>
      </w:hyperlink>
      <w:r>
        <w:t xml:space="preserve">;].</w:t>
      </w:r>
      <w:r>
        <w:rPr>
          <w:vertAlign w:val="superscript"/>
        </w:rPr>
        <w:t xml:space="preserve">33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34</w:t>
      </w:r>
      <w:r>
        <w:t xml:space="preserve"> again via the ForestGEO Climate Data Portal v1.0.</w:t>
      </w:r>
      <w:r>
        <w:rPr>
          <w:vertAlign w:val="superscript"/>
        </w:rPr>
        <w:t xml:space="preserve">33</w:t>
      </w:r>
    </w:p>
    <w:bookmarkEnd w:id="42"/>
    <w:bookmarkEnd w:id="43"/>
    <w:bookmarkStart w:id="44"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(Extended Data Table 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22</w:t>
      </w:r>
      <w:r>
        <w:t xml:space="preserve"> Determining the climate variables that most strongly control all parameters is beyond the scope of this analysis.</w:t>
      </w:r>
    </w:p>
    <w:bookmarkEnd w:id="44"/>
    <w:bookmarkStart w:id="45"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5"/>
    <w:bookmarkEnd w:id="46"/>
    <w:bookmarkStart w:id="47"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7"/>
    <w:bookmarkStart w:id="48" w:name="author-contributions"/>
    <w:p>
      <w:pPr>
        <w:pStyle w:val="Heading1"/>
      </w:pPr>
      <w:r>
        <w:t xml:space="preserve">Author Contributions</w:t>
      </w:r>
    </w:p>
    <w:bookmarkEnd w:id="48"/>
    <w:bookmarkStart w:id="49" w:name="supporting-information"/>
    <w:p>
      <w:pPr>
        <w:pStyle w:val="Heading1"/>
      </w:pPr>
      <w:r>
        <w:t xml:space="preserve">Supporting Information</w:t>
      </w:r>
    </w:p>
    <w:bookmarkEnd w:id="49"/>
    <w:bookmarkStart w:id="91" w:name="references"/>
    <w:p>
      <w:pPr>
        <w:pStyle w:val="Heading1"/>
      </w:pPr>
      <w:r>
        <w:t xml:space="preserve">References</w:t>
      </w:r>
    </w:p>
    <w:bookmarkStart w:id="90" w:name="refs"/>
    <w:bookmarkStart w:id="50" w:name="ref-jeong_phenology_2011"/>
    <w:p>
      <w:pPr>
        <w:pStyle w:val="Bibliography"/>
      </w:pPr>
      <w:r>
        <w:t xml:space="preserve">1.</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0"/>
    <w:bookmarkStart w:id="51" w:name="ref-menzel_growing_1999"/>
    <w:p>
      <w:pPr>
        <w:pStyle w:val="Bibliography"/>
      </w:pPr>
      <w:r>
        <w:t xml:space="preserve">2.</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51"/>
    <w:bookmarkStart w:id="52" w:name="ref-menzel_european_2006"/>
    <w:p>
      <w:pPr>
        <w:pStyle w:val="Bibliography"/>
      </w:pPr>
      <w:r>
        <w:t xml:space="preserve">3.</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52"/>
    <w:bookmarkStart w:id="53" w:name="ref-ibanez_forecasting_2010"/>
    <w:p>
      <w:pPr>
        <w:pStyle w:val="Bibliography"/>
      </w:pPr>
      <w:r>
        <w:t xml:space="preserve">4.</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3"/>
    <w:bookmarkStart w:id="54"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4"/>
    <w:bookmarkStart w:id="55"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5"/>
    <w:bookmarkStart w:id="56"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6"/>
    <w:bookmarkStart w:id="58"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7">
        <w:r>
          <w:rPr>
            <w:rStyle w:val="Hyperlink"/>
          </w:rPr>
          <w:t xml:space="preserve">10.1088/1748-9326/abed01</w:t>
        </w:r>
      </w:hyperlink>
      <w:r>
        <w:t xml:space="preserve">.</w:t>
      </w:r>
    </w:p>
    <w:bookmarkEnd w:id="58"/>
    <w:bookmarkStart w:id="59"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9"/>
    <w:bookmarkStart w:id="60"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60"/>
    <w:bookmarkStart w:id="61"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61"/>
    <w:bookmarkStart w:id="62"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2"/>
    <w:bookmarkStart w:id="63"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3"/>
    <w:bookmarkStart w:id="64"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4"/>
    <w:bookmarkStart w:id="65"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5"/>
    <w:bookmarkStart w:id="66"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6"/>
    <w:bookmarkStart w:id="67"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7"/>
    <w:bookmarkStart w:id="68" w:name="ref-friedl_tale_2014"/>
    <w:p>
      <w:pPr>
        <w:pStyle w:val="Bibliography"/>
      </w:pPr>
      <w:r>
        <w:t xml:space="preserve">18.</w:t>
      </w:r>
      <w:r>
        <w:t xml:space="preserve"> </w:t>
      </w:r>
      <w:r>
        <w:t xml:space="preserve">	</w:t>
      </w:r>
      <w:r>
        <w:t xml:space="preserve">Friedl, M. A.</w:t>
      </w:r>
      <w:r>
        <w:t xml:space="preserve"> </w:t>
      </w:r>
      <w:r>
        <w:rPr>
          <w:iCs/>
          <w:i/>
        </w:rPr>
        <w:t xml:space="preserve">et al.</w:t>
      </w:r>
      <w:r>
        <w:t xml:space="preserve"> A tale of two springs: Using recent climate anomalies to characterize the sensitivity of temperate forest phenology to climate change.</w:t>
      </w:r>
      <w:r>
        <w:t xml:space="preserve"> </w:t>
      </w:r>
      <w:r>
        <w:rPr>
          <w:iCs/>
          <w:i/>
        </w:rPr>
        <w:t xml:space="preserve">Environmental Research Letters</w:t>
      </w:r>
      <w:r>
        <w:t xml:space="preserve"> </w:t>
      </w:r>
      <w:r>
        <w:rPr>
          <w:bCs/>
          <w:b/>
        </w:rPr>
        <w:t xml:space="preserve">9</w:t>
      </w:r>
      <w:r>
        <w:t xml:space="preserve">, 054006 (2014).</w:t>
      </w:r>
    </w:p>
    <w:bookmarkEnd w:id="68"/>
    <w:bookmarkStart w:id="69" w:name="ref-churkina_spatial_2005"/>
    <w:p>
      <w:pPr>
        <w:pStyle w:val="Bibliography"/>
      </w:pPr>
      <w:r>
        <w:t xml:space="preserve">19.</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9"/>
    <w:bookmarkStart w:id="70" w:name="ref-keenan_net_2014"/>
    <w:p>
      <w:pPr>
        <w:pStyle w:val="Bibliography"/>
      </w:pPr>
      <w:r>
        <w:t xml:space="preserve">20.</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70"/>
    <w:bookmarkStart w:id="71" w:name="ref-zhou_explaining_2016"/>
    <w:p>
      <w:pPr>
        <w:pStyle w:val="Bibliography"/>
      </w:pPr>
      <w:r>
        <w:t xml:space="preserve">21.</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71"/>
    <w:bookmarkStart w:id="72" w:name="ref-helcoski_growing_2019"/>
    <w:p>
      <w:pPr>
        <w:pStyle w:val="Bibliography"/>
      </w:pPr>
      <w:r>
        <w:t xml:space="preserve">22.</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72"/>
    <w:bookmarkStart w:id="73" w:name="ref-mcmahon_general_2015"/>
    <w:p>
      <w:pPr>
        <w:pStyle w:val="Bibliography"/>
      </w:pPr>
      <w:r>
        <w:t xml:space="preserve">23.</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3"/>
    <w:bookmarkStart w:id="75" w:name="ref-delgado_differences_2020"/>
    <w:p>
      <w:pPr>
        <w:pStyle w:val="Bibliography"/>
      </w:pPr>
      <w:r>
        <w:t xml:space="preserve">24.</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4">
        <w:r>
          <w:rPr>
            <w:rStyle w:val="Hyperlink"/>
          </w:rPr>
          <w:t xml:space="preserve">10.1073/pnas.2002713117</w:t>
        </w:r>
      </w:hyperlink>
      <w:r>
        <w:t xml:space="preserve">.</w:t>
      </w:r>
    </w:p>
    <w:bookmarkEnd w:id="75"/>
    <w:bookmarkStart w:id="76" w:name="ref-zhang_drought_2021"/>
    <w:p>
      <w:pPr>
        <w:pStyle w:val="Bibliography"/>
      </w:pPr>
      <w:r>
        <w:t xml:space="preserve">25.</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6"/>
    <w:bookmarkStart w:id="77" w:name="ref-zhang_extended_2020"/>
    <w:p>
      <w:pPr>
        <w:pStyle w:val="Bibliography"/>
      </w:pPr>
      <w:r>
        <w:t xml:space="preserve">26.</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7"/>
    <w:bookmarkStart w:id="78" w:name="ref-alexander_potential_2019"/>
    <w:p>
      <w:pPr>
        <w:pStyle w:val="Bibliography"/>
      </w:pPr>
      <w:r>
        <w:t xml:space="preserve">27.</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8"/>
    <w:bookmarkStart w:id="79" w:name="ref-bourg_initial_2013"/>
    <w:p>
      <w:pPr>
        <w:pStyle w:val="Bibliography"/>
      </w:pPr>
      <w:r>
        <w:t xml:space="preserve">28.</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9"/>
    <w:bookmarkStart w:id="80" w:name="ref-cook_time_1985"/>
    <w:p>
      <w:pPr>
        <w:pStyle w:val="Bibliography"/>
      </w:pPr>
      <w:r>
        <w:t xml:space="preserve">29.</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80"/>
    <w:bookmarkStart w:id="82" w:name="ref-cook_methods_1990"/>
    <w:p>
      <w:pPr>
        <w:pStyle w:val="Bibliography"/>
      </w:pPr>
      <w:r>
        <w:t xml:space="preserve">30.</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81">
        <w:r>
          <w:rPr>
            <w:rStyle w:val="Hyperlink"/>
          </w:rPr>
          <w:t xml:space="preserve">10.1007/978-94-015-7879-0</w:t>
        </w:r>
      </w:hyperlink>
      <w:r>
        <w:t xml:space="preserve">.</w:t>
      </w:r>
    </w:p>
    <w:bookmarkEnd w:id="82"/>
    <w:bookmarkStart w:id="83" w:name="ref-cook_calculating_1997"/>
    <w:p>
      <w:pPr>
        <w:pStyle w:val="Bibliography"/>
      </w:pPr>
      <w:r>
        <w:t xml:space="preserve">31.</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3"/>
    <w:bookmarkStart w:id="84" w:name="ref-jones_estimating_1997"/>
    <w:p>
      <w:pPr>
        <w:pStyle w:val="Bibliography"/>
      </w:pPr>
      <w:r>
        <w:t xml:space="preserve">32.</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4"/>
    <w:bookmarkStart w:id="86" w:name="ref-anderson-teixeira_forestgeo_2020"/>
    <w:p>
      <w:pPr>
        <w:pStyle w:val="Bibliography"/>
      </w:pPr>
      <w:r>
        <w:t xml:space="preserve">33.</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5">
        <w:r>
          <w:rPr>
            <w:rStyle w:val="Hyperlink"/>
          </w:rPr>
          <w:t xml:space="preserve">10.5281/ZENODO.4041609</w:t>
        </w:r>
      </w:hyperlink>
      <w:r>
        <w:t xml:space="preserve">.</w:t>
      </w:r>
    </w:p>
    <w:bookmarkEnd w:id="86"/>
    <w:bookmarkStart w:id="87" w:name="ref-harris_version_2020"/>
    <w:p>
      <w:pPr>
        <w:pStyle w:val="Bibliography"/>
      </w:pPr>
      <w:r>
        <w:t xml:space="preserve">34.</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7"/>
    <w:bookmarkStart w:id="88" w:name="ref-vandepol_identifying_2016"/>
    <w:p>
      <w:pPr>
        <w:pStyle w:val="Bibliography"/>
      </w:pPr>
      <w:r>
        <w:t xml:space="preserve">35.</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8"/>
    <w:bookmarkStart w:id="89" w:name="ref-bates_fitting_2015"/>
    <w:p>
      <w:pPr>
        <w:pStyle w:val="Bibliography"/>
      </w:pPr>
      <w:r>
        <w:t xml:space="preserve">36.</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9"/>
    <w:bookmarkEnd w:id="90"/>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2021-04-27T15:54:38Z</dcterms:created>
  <dcterms:modified xsi:type="dcterms:W3CDTF">2021-04-27T15:54:38Z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